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902" w:rsidRDefault="00605902" w:rsidP="00605902">
      <w:pPr>
        <w:jc w:val="center"/>
        <w:rPr>
          <w:lang w:val="en-US"/>
        </w:rPr>
      </w:pPr>
    </w:p>
    <w:p w:rsidR="00605902" w:rsidRDefault="00605902" w:rsidP="00605902">
      <w:pPr>
        <w:jc w:val="center"/>
        <w:rPr>
          <w:lang w:val="en-US"/>
        </w:rPr>
      </w:pPr>
    </w:p>
    <w:p w:rsidR="00605902" w:rsidRDefault="00605902" w:rsidP="00605902">
      <w:pPr>
        <w:jc w:val="center"/>
        <w:rPr>
          <w:lang w:val="en-US"/>
        </w:rPr>
      </w:pPr>
    </w:p>
    <w:p w:rsidR="00605902" w:rsidRDefault="00605902" w:rsidP="00605902">
      <w:pPr>
        <w:jc w:val="center"/>
        <w:rPr>
          <w:lang w:val="en-US"/>
        </w:rPr>
      </w:pPr>
    </w:p>
    <w:p w:rsidR="00605902" w:rsidRDefault="00605902" w:rsidP="00605902">
      <w:pPr>
        <w:jc w:val="center"/>
        <w:rPr>
          <w:lang w:val="en-US"/>
        </w:rPr>
      </w:pPr>
    </w:p>
    <w:p w:rsidR="00605902" w:rsidRDefault="00605902" w:rsidP="00605902">
      <w:pPr>
        <w:jc w:val="center"/>
        <w:rPr>
          <w:lang w:val="en-US"/>
        </w:rPr>
      </w:pPr>
    </w:p>
    <w:p w:rsidR="00605902" w:rsidRDefault="00605902" w:rsidP="00605902">
      <w:pPr>
        <w:jc w:val="center"/>
        <w:rPr>
          <w:lang w:val="en-US"/>
        </w:rPr>
      </w:pPr>
    </w:p>
    <w:p w:rsidR="00605902" w:rsidRDefault="00605902" w:rsidP="00605902">
      <w:pPr>
        <w:jc w:val="center"/>
        <w:rPr>
          <w:lang w:val="en-US"/>
        </w:rPr>
      </w:pPr>
    </w:p>
    <w:p w:rsidR="00605902" w:rsidRDefault="00605902" w:rsidP="00605902">
      <w:pPr>
        <w:jc w:val="center"/>
        <w:rPr>
          <w:lang w:val="en-US"/>
        </w:rPr>
      </w:pPr>
    </w:p>
    <w:p w:rsidR="00605902" w:rsidRDefault="00605902" w:rsidP="00605902">
      <w:pPr>
        <w:jc w:val="center"/>
        <w:rPr>
          <w:lang w:val="en-US"/>
        </w:rPr>
      </w:pPr>
    </w:p>
    <w:p w:rsidR="006577CB" w:rsidRDefault="00CC4F6D" w:rsidP="00605902">
      <w:pPr>
        <w:jc w:val="center"/>
        <w:rPr>
          <w:lang w:val="en-US"/>
        </w:rPr>
      </w:pPr>
      <w:r>
        <w:rPr>
          <w:lang w:val="en-US"/>
        </w:rPr>
        <w:t xml:space="preserve">Effectiveness </w:t>
      </w:r>
      <w:r w:rsidR="008D28F2">
        <w:rPr>
          <w:lang w:val="en-US"/>
        </w:rPr>
        <w:t>of Teaching and Learning P</w:t>
      </w:r>
      <w:r>
        <w:rPr>
          <w:lang w:val="en-US"/>
        </w:rPr>
        <w:t>rocess</w:t>
      </w:r>
      <w:r w:rsidR="008D28F2">
        <w:rPr>
          <w:lang w:val="en-US"/>
        </w:rPr>
        <w:t xml:space="preserve"> on Health C</w:t>
      </w:r>
      <w:r>
        <w:rPr>
          <w:lang w:val="en-US"/>
        </w:rPr>
        <w:t>are</w:t>
      </w:r>
    </w:p>
    <w:p w:rsidR="00605902" w:rsidRDefault="00605902" w:rsidP="00605902">
      <w:pPr>
        <w:jc w:val="center"/>
        <w:rPr>
          <w:lang w:val="en-US"/>
        </w:rPr>
      </w:pPr>
    </w:p>
    <w:p w:rsidR="00605902" w:rsidRDefault="00CC4F6D" w:rsidP="00605902">
      <w:pPr>
        <w:jc w:val="center"/>
        <w:rPr>
          <w:lang w:val="en-US"/>
        </w:rPr>
      </w:pPr>
      <w:r>
        <w:rPr>
          <w:lang w:val="en-US"/>
        </w:rPr>
        <w:t>Student’s name:</w:t>
      </w:r>
    </w:p>
    <w:p w:rsidR="00605902" w:rsidRDefault="00605902" w:rsidP="00605902">
      <w:pPr>
        <w:jc w:val="center"/>
        <w:rPr>
          <w:lang w:val="en-US"/>
        </w:rPr>
      </w:pPr>
    </w:p>
    <w:p w:rsidR="00605902" w:rsidRDefault="00CC4F6D" w:rsidP="00605902">
      <w:pPr>
        <w:jc w:val="center"/>
        <w:rPr>
          <w:lang w:val="en-US"/>
        </w:rPr>
      </w:pPr>
      <w:r>
        <w:rPr>
          <w:lang w:val="en-US"/>
        </w:rPr>
        <w:t>Professor’s name;</w:t>
      </w:r>
    </w:p>
    <w:p w:rsidR="00605902" w:rsidRDefault="00605902" w:rsidP="00605902">
      <w:pPr>
        <w:jc w:val="center"/>
        <w:rPr>
          <w:lang w:val="en-US"/>
        </w:rPr>
      </w:pPr>
    </w:p>
    <w:p w:rsidR="00605902" w:rsidRDefault="00CC4F6D" w:rsidP="00605902">
      <w:pPr>
        <w:jc w:val="center"/>
        <w:rPr>
          <w:lang w:val="en-US"/>
        </w:rPr>
      </w:pPr>
      <w:r>
        <w:rPr>
          <w:lang w:val="en-US"/>
        </w:rPr>
        <w:t>Institution of affiliation:</w:t>
      </w:r>
    </w:p>
    <w:p w:rsidR="00605902" w:rsidRDefault="00605902" w:rsidP="00605902">
      <w:pPr>
        <w:jc w:val="center"/>
        <w:rPr>
          <w:lang w:val="en-US"/>
        </w:rPr>
      </w:pPr>
    </w:p>
    <w:p w:rsidR="00605902" w:rsidRDefault="00CC4F6D" w:rsidP="00605902">
      <w:pPr>
        <w:jc w:val="center"/>
        <w:rPr>
          <w:lang w:val="en-US"/>
        </w:rPr>
      </w:pPr>
      <w:r>
        <w:rPr>
          <w:lang w:val="en-US"/>
        </w:rPr>
        <w:t>Course:</w:t>
      </w:r>
    </w:p>
    <w:p w:rsidR="00605902" w:rsidRDefault="00605902" w:rsidP="00605902">
      <w:pPr>
        <w:jc w:val="center"/>
        <w:rPr>
          <w:lang w:val="en-US"/>
        </w:rPr>
      </w:pPr>
    </w:p>
    <w:p w:rsidR="00605902" w:rsidRDefault="00CC4F6D" w:rsidP="00605902">
      <w:pPr>
        <w:jc w:val="center"/>
        <w:rPr>
          <w:lang w:val="en-US"/>
        </w:rPr>
      </w:pPr>
      <w:r>
        <w:rPr>
          <w:lang w:val="en-US"/>
        </w:rPr>
        <w:t xml:space="preserve">Date: </w:t>
      </w:r>
    </w:p>
    <w:p w:rsidR="00605902" w:rsidRDefault="00CC4F6D">
      <w:pPr>
        <w:rPr>
          <w:lang w:val="en-US"/>
        </w:rPr>
      </w:pPr>
      <w:r>
        <w:rPr>
          <w:lang w:val="en-US"/>
        </w:rPr>
        <w:br w:type="page"/>
      </w:r>
    </w:p>
    <w:p w:rsidR="00605902" w:rsidRDefault="00605902" w:rsidP="00605902">
      <w:pPr>
        <w:rPr>
          <w:lang w:val="en-US"/>
        </w:rPr>
      </w:pPr>
    </w:p>
    <w:p w:rsidR="00605902" w:rsidRDefault="00CC4F6D" w:rsidP="00286866">
      <w:pPr>
        <w:ind w:firstLine="720"/>
        <w:rPr>
          <w:lang w:val="en-US"/>
        </w:rPr>
      </w:pPr>
      <w:r>
        <w:rPr>
          <w:lang w:val="en-US"/>
        </w:rPr>
        <w:t xml:space="preserve">Health is a vast area encompassing both internal and external </w:t>
      </w:r>
      <w:r w:rsidR="00A52B7E">
        <w:rPr>
          <w:lang w:val="en-US"/>
        </w:rPr>
        <w:t xml:space="preserve">factors determining </w:t>
      </w:r>
      <w:r>
        <w:rPr>
          <w:lang w:val="en-US"/>
        </w:rPr>
        <w:t>the wellbeing of the population. Health is often defined as the total wellbeing, either socially, physically, or mentally with the absence of disease. Health knowledge involves a wide area of studies such as the human surrounding and the animals that may f</w:t>
      </w:r>
      <w:r>
        <w:rPr>
          <w:lang w:val="en-US"/>
        </w:rPr>
        <w:t xml:space="preserve">acilitate the transfer of conditions or calamities </w:t>
      </w:r>
      <w:r w:rsidR="00B97E43">
        <w:rPr>
          <w:lang w:val="en-US"/>
        </w:rPr>
        <w:t>compromising</w:t>
      </w:r>
      <w:r>
        <w:rPr>
          <w:lang w:val="en-US"/>
        </w:rPr>
        <w:t xml:space="preserve"> human life. Teaching on health involves understanding the normal body process and the pathophysiology with factors that interrupt the normal body functions, such as disease state. This learnin</w:t>
      </w:r>
      <w:r>
        <w:rPr>
          <w:lang w:val="en-US"/>
        </w:rPr>
        <w:t xml:space="preserve">g approach entails </w:t>
      </w:r>
      <w:r w:rsidR="00A52B7E">
        <w:rPr>
          <w:lang w:val="en-US"/>
        </w:rPr>
        <w:t xml:space="preserve">assessing, diagnosing possible interventions, planning treatment, and evaluating the various components of practicing. </w:t>
      </w:r>
      <w:r w:rsidR="00DC52DD">
        <w:rPr>
          <w:lang w:val="en-US"/>
        </w:rPr>
        <w:t>It can either be in the form of nursing, medicine, medical laboratory, and pharmacy, among others (</w:t>
      </w:r>
      <w:r w:rsidR="00DC52DD">
        <w:rPr>
          <w:shd w:val="clear" w:color="auto" w:fill="FFFFFF"/>
        </w:rPr>
        <w:t>Russell et al., 2013)</w:t>
      </w:r>
    </w:p>
    <w:p w:rsidR="00400200" w:rsidRDefault="00CC4F6D" w:rsidP="00B97E43">
      <w:pPr>
        <w:ind w:firstLine="720"/>
        <w:rPr>
          <w:lang w:val="en-US"/>
        </w:rPr>
      </w:pPr>
      <w:r>
        <w:rPr>
          <w:lang w:val="en-US"/>
        </w:rPr>
        <w:t xml:space="preserve">The majority </w:t>
      </w:r>
      <w:r w:rsidR="00B97E43">
        <w:rPr>
          <w:lang w:val="en-US"/>
        </w:rPr>
        <w:t xml:space="preserve">of health education </w:t>
      </w:r>
      <w:r w:rsidR="00A52974">
        <w:rPr>
          <w:lang w:val="en-US"/>
        </w:rPr>
        <w:t>provided at the health centers, community, or gathering centers are</w:t>
      </w:r>
      <w:r w:rsidR="00B97E43">
        <w:rPr>
          <w:lang w:val="en-US"/>
        </w:rPr>
        <w:t xml:space="preserve"> </w:t>
      </w:r>
      <w:r w:rsidR="00A52974">
        <w:rPr>
          <w:lang w:val="en-US"/>
        </w:rPr>
        <w:t xml:space="preserve">licensed </w:t>
      </w:r>
      <w:r>
        <w:rPr>
          <w:lang w:val="en-US"/>
        </w:rPr>
        <w:t xml:space="preserve">health practitioners </w:t>
      </w:r>
      <w:r w:rsidR="00A52974">
        <w:rPr>
          <w:lang w:val="en-US"/>
        </w:rPr>
        <w:t>to</w:t>
      </w:r>
      <w:r>
        <w:rPr>
          <w:lang w:val="en-US"/>
        </w:rPr>
        <w:t xml:space="preserve"> provide guidance o</w:t>
      </w:r>
      <w:r w:rsidR="00A52974">
        <w:rPr>
          <w:lang w:val="en-US"/>
        </w:rPr>
        <w:t xml:space="preserve">n specific areas of concern and </w:t>
      </w:r>
      <w:r>
        <w:rPr>
          <w:lang w:val="en-US"/>
        </w:rPr>
        <w:t>demonstrate. The</w:t>
      </w:r>
      <w:r w:rsidR="00A52974">
        <w:rPr>
          <w:lang w:val="en-US"/>
        </w:rPr>
        <w:t>y</w:t>
      </w:r>
      <w:r>
        <w:rPr>
          <w:lang w:val="en-US"/>
        </w:rPr>
        <w:t xml:space="preserve"> are expected to formulate the learning scheme and i</w:t>
      </w:r>
      <w:r>
        <w:rPr>
          <w:lang w:val="en-US"/>
        </w:rPr>
        <w:t>ntegrate standard teachings with demonstrations, videos, and practicals centered on the learning to expand the learning process.</w:t>
      </w:r>
      <w:r w:rsidR="00A52974">
        <w:rPr>
          <w:lang w:val="en-US"/>
        </w:rPr>
        <w:t xml:space="preserve"> The majority of the topics are about the common issues affecting a given community, such as diseases, nutrition, and sanitation. </w:t>
      </w:r>
      <w:r w:rsidR="00FD13D0">
        <w:rPr>
          <w:lang w:val="en-US"/>
        </w:rPr>
        <w:t xml:space="preserve">The </w:t>
      </w:r>
      <w:r w:rsidR="00A52974">
        <w:rPr>
          <w:lang w:val="en-US"/>
        </w:rPr>
        <w:t>healthcare workers</w:t>
      </w:r>
      <w:r w:rsidR="00FD13D0">
        <w:rPr>
          <w:lang w:val="en-US"/>
        </w:rPr>
        <w:t xml:space="preserve"> are expected to understand the different shortcomings of e</w:t>
      </w:r>
      <w:r w:rsidR="00917142">
        <w:rPr>
          <w:lang w:val="en-US"/>
        </w:rPr>
        <w:t>ach learner</w:t>
      </w:r>
      <w:r w:rsidR="00FD13D0">
        <w:rPr>
          <w:lang w:val="en-US"/>
        </w:rPr>
        <w:t xml:space="preserve"> and their ability to affect the teaching and organize groups. The</w:t>
      </w:r>
      <w:r w:rsidR="00917142">
        <w:rPr>
          <w:lang w:val="en-US"/>
        </w:rPr>
        <w:t>y</w:t>
      </w:r>
      <w:r w:rsidR="00FD13D0">
        <w:rPr>
          <w:lang w:val="en-US"/>
        </w:rPr>
        <w:t xml:space="preserve"> are equally </w:t>
      </w:r>
      <w:r w:rsidR="00917142">
        <w:rPr>
          <w:lang w:val="en-US"/>
        </w:rPr>
        <w:t xml:space="preserve">likely </w:t>
      </w:r>
      <w:r w:rsidR="00FD13D0">
        <w:rPr>
          <w:lang w:val="en-US"/>
        </w:rPr>
        <w:t xml:space="preserve">to develop a positive growth mindset by providing </w:t>
      </w:r>
      <w:r w:rsidR="00917142">
        <w:rPr>
          <w:lang w:val="en-US"/>
        </w:rPr>
        <w:t xml:space="preserve">learning targets, </w:t>
      </w:r>
      <w:r w:rsidR="00FD13D0">
        <w:rPr>
          <w:lang w:val="en-US"/>
        </w:rPr>
        <w:t xml:space="preserve">guidelines </w:t>
      </w:r>
      <w:r w:rsidR="00286866">
        <w:rPr>
          <w:lang w:val="en-US"/>
        </w:rPr>
        <w:t xml:space="preserve">and </w:t>
      </w:r>
      <w:r w:rsidR="00917142">
        <w:rPr>
          <w:lang w:val="en-US"/>
        </w:rPr>
        <w:t xml:space="preserve">obtaining </w:t>
      </w:r>
      <w:r w:rsidR="00286866">
        <w:rPr>
          <w:lang w:val="en-US"/>
        </w:rPr>
        <w:t>fee</w:t>
      </w:r>
      <w:r w:rsidR="00917142">
        <w:rPr>
          <w:lang w:val="en-US"/>
        </w:rPr>
        <w:t xml:space="preserve">dback </w:t>
      </w:r>
      <w:r w:rsidR="00286866">
        <w:rPr>
          <w:lang w:val="en-US"/>
        </w:rPr>
        <w:t>(</w:t>
      </w:r>
      <w:r w:rsidR="00286866">
        <w:rPr>
          <w:shd w:val="clear" w:color="auto" w:fill="FFFFFF"/>
        </w:rPr>
        <w:t>Crane et al., 2012).</w:t>
      </w:r>
    </w:p>
    <w:p w:rsidR="00766DFB" w:rsidRDefault="00CC4F6D" w:rsidP="00286866">
      <w:pPr>
        <w:ind w:firstLine="720"/>
        <w:rPr>
          <w:lang w:val="en-US"/>
        </w:rPr>
      </w:pPr>
      <w:r>
        <w:rPr>
          <w:lang w:val="en-US"/>
        </w:rPr>
        <w:t>T</w:t>
      </w:r>
      <w:r w:rsidR="00917142">
        <w:rPr>
          <w:lang w:val="en-US"/>
        </w:rPr>
        <w:t>he health care personnel</w:t>
      </w:r>
      <w:r>
        <w:rPr>
          <w:lang w:val="en-US"/>
        </w:rPr>
        <w:t xml:space="preserve"> ought </w:t>
      </w:r>
      <w:r w:rsidR="00AB3E39">
        <w:rPr>
          <w:lang w:val="en-US"/>
        </w:rPr>
        <w:t>to establish flexible classroom routines and pr</w:t>
      </w:r>
      <w:r w:rsidR="00917142">
        <w:rPr>
          <w:lang w:val="en-US"/>
        </w:rPr>
        <w:t xml:space="preserve">ocedures that meet the learner's </w:t>
      </w:r>
      <w:r w:rsidR="00AB3E39">
        <w:rPr>
          <w:lang w:val="en-US"/>
        </w:rPr>
        <w:t xml:space="preserve">needs. Such methods </w:t>
      </w:r>
      <w:r w:rsidR="00917142">
        <w:rPr>
          <w:lang w:val="en-US"/>
        </w:rPr>
        <w:t>involve teaching them</w:t>
      </w:r>
      <w:r w:rsidR="00AB3E39">
        <w:rPr>
          <w:lang w:val="en-US"/>
        </w:rPr>
        <w:t xml:space="preserve"> as a whole </w:t>
      </w:r>
      <w:r w:rsidR="00917142">
        <w:rPr>
          <w:lang w:val="en-US"/>
        </w:rPr>
        <w:t>and later</w:t>
      </w:r>
      <w:r w:rsidR="00AB3E39">
        <w:rPr>
          <w:lang w:val="en-US"/>
        </w:rPr>
        <w:t xml:space="preserve"> in groups and individually to</w:t>
      </w:r>
      <w:r w:rsidR="00917142">
        <w:rPr>
          <w:lang w:val="en-US"/>
        </w:rPr>
        <w:t xml:space="preserve"> fully meet their</w:t>
      </w:r>
      <w:r w:rsidR="00AB3E39">
        <w:rPr>
          <w:lang w:val="en-US"/>
        </w:rPr>
        <w:t xml:space="preserve"> need</w:t>
      </w:r>
      <w:r w:rsidR="00917142">
        <w:rPr>
          <w:lang w:val="en-US"/>
        </w:rPr>
        <w:t>s</w:t>
      </w:r>
      <w:r w:rsidR="00AB3E39">
        <w:rPr>
          <w:lang w:val="en-US"/>
        </w:rPr>
        <w:t xml:space="preserve">. </w:t>
      </w:r>
      <w:r>
        <w:rPr>
          <w:lang w:val="en-US"/>
        </w:rPr>
        <w:t>It’s</w:t>
      </w:r>
      <w:r w:rsidR="00AB3E39">
        <w:rPr>
          <w:lang w:val="en-US"/>
        </w:rPr>
        <w:t xml:space="preserve"> also expected of the </w:t>
      </w:r>
      <w:r w:rsidR="00917142">
        <w:rPr>
          <w:lang w:val="en-US"/>
        </w:rPr>
        <w:t xml:space="preserve">leader </w:t>
      </w:r>
      <w:r w:rsidR="00AB3E39">
        <w:rPr>
          <w:lang w:val="en-US"/>
        </w:rPr>
        <w:t xml:space="preserve">to be </w:t>
      </w:r>
      <w:r w:rsidR="00AB3E39">
        <w:rPr>
          <w:lang w:val="en-US"/>
        </w:rPr>
        <w:lastRenderedPageBreak/>
        <w:t xml:space="preserve">an analytical practitioner </w:t>
      </w:r>
      <w:r>
        <w:rPr>
          <w:lang w:val="en-US"/>
        </w:rPr>
        <w:t>by establis</w:t>
      </w:r>
      <w:r w:rsidR="00917142">
        <w:rPr>
          <w:lang w:val="en-US"/>
        </w:rPr>
        <w:t>hing a learner</w:t>
      </w:r>
      <w:r>
        <w:rPr>
          <w:lang w:val="en-US"/>
        </w:rPr>
        <w:t xml:space="preserve">-centered approach of learning and the possibility of adjusting the strategy when perceived not to work. </w:t>
      </w:r>
    </w:p>
    <w:p w:rsidR="00AB3E39" w:rsidRDefault="00CC4F6D" w:rsidP="00B97E43">
      <w:pPr>
        <w:ind w:firstLine="720"/>
        <w:rPr>
          <w:lang w:val="en-US"/>
        </w:rPr>
      </w:pPr>
      <w:r>
        <w:rPr>
          <w:lang w:val="en-US"/>
        </w:rPr>
        <w:t>The learner</w:t>
      </w:r>
      <w:r w:rsidR="00766DFB">
        <w:rPr>
          <w:lang w:val="en-US"/>
        </w:rPr>
        <w:t xml:space="preserve"> in a teaching-learning program expects to </w:t>
      </w:r>
      <w:r>
        <w:rPr>
          <w:lang w:val="en-US"/>
        </w:rPr>
        <w:t>practice learning ideas and find better ways of improving their health</w:t>
      </w:r>
      <w:r w:rsidR="00766DFB">
        <w:rPr>
          <w:lang w:val="en-US"/>
        </w:rPr>
        <w:t xml:space="preserve">. </w:t>
      </w:r>
      <w:r>
        <w:rPr>
          <w:lang w:val="en-US"/>
        </w:rPr>
        <w:t xml:space="preserve"> </w:t>
      </w:r>
      <w:r w:rsidR="00A33FFA">
        <w:rPr>
          <w:lang w:val="en-US"/>
        </w:rPr>
        <w:t xml:space="preserve">Assessment of learning objective involves </w:t>
      </w:r>
      <w:r>
        <w:rPr>
          <w:lang w:val="en-US"/>
        </w:rPr>
        <w:t xml:space="preserve">questionnaires, </w:t>
      </w:r>
      <w:r w:rsidR="00A33FFA">
        <w:rPr>
          <w:lang w:val="en-US"/>
        </w:rPr>
        <w:t xml:space="preserve">content analysis, collective portfolios, </w:t>
      </w:r>
      <w:r w:rsidR="009E0907">
        <w:rPr>
          <w:lang w:val="en-US"/>
        </w:rPr>
        <w:t>and use</w:t>
      </w:r>
      <w:r w:rsidR="00A33FFA">
        <w:rPr>
          <w:lang w:val="en-US"/>
        </w:rPr>
        <w:t xml:space="preserve"> of case studies and capstone courses that consist of the </w:t>
      </w:r>
      <w:r w:rsidR="00286866">
        <w:rPr>
          <w:lang w:val="en-US"/>
        </w:rPr>
        <w:t>learning assessment (</w:t>
      </w:r>
      <w:r w:rsidR="00286866">
        <w:rPr>
          <w:shd w:val="clear" w:color="auto" w:fill="FFFFFF"/>
        </w:rPr>
        <w:t>Watts</w:t>
      </w:r>
      <w:r w:rsidR="00286866">
        <w:rPr>
          <w:rFonts w:ascii="Cambria Math" w:hAnsi="Cambria Math" w:cs="Cambria Math"/>
          <w:shd w:val="clear" w:color="auto" w:fill="FFFFFF"/>
        </w:rPr>
        <w:t>‐</w:t>
      </w:r>
      <w:r w:rsidR="00286866">
        <w:rPr>
          <w:shd w:val="clear" w:color="auto" w:fill="FFFFFF"/>
        </w:rPr>
        <w:t>Taffe et al., 2012).</w:t>
      </w:r>
      <w:r w:rsidR="006E4DC2">
        <w:rPr>
          <w:lang w:val="en-US"/>
        </w:rPr>
        <w:t xml:space="preserve"> </w:t>
      </w:r>
      <w:r w:rsidR="00A33FFA">
        <w:rPr>
          <w:lang w:val="en-US"/>
        </w:rPr>
        <w:t xml:space="preserve"> </w:t>
      </w:r>
      <w:r w:rsidR="00766DFB">
        <w:rPr>
          <w:lang w:val="en-US"/>
        </w:rPr>
        <w:t xml:space="preserve"> </w:t>
      </w:r>
    </w:p>
    <w:p w:rsidR="006E4DC2" w:rsidRDefault="00CC4F6D" w:rsidP="00B97E43">
      <w:pPr>
        <w:ind w:firstLine="720"/>
        <w:rPr>
          <w:lang w:val="en-US"/>
        </w:rPr>
      </w:pPr>
      <w:r>
        <w:rPr>
          <w:lang w:val="en-US"/>
        </w:rPr>
        <w:t>The teaching materials used in the health career range from the printed source</w:t>
      </w:r>
      <w:r w:rsidR="00B510B2">
        <w:rPr>
          <w:lang w:val="en-US"/>
        </w:rPr>
        <w:t xml:space="preserve">s such as </w:t>
      </w:r>
      <w:r>
        <w:rPr>
          <w:lang w:val="en-US"/>
        </w:rPr>
        <w:t>books, visual materials that include presentation, audio, and audiovisual, depending on the subject and complexity o</w:t>
      </w:r>
      <w:r>
        <w:rPr>
          <w:lang w:val="en-US"/>
        </w:rPr>
        <w:t xml:space="preserve">f the information. Following innovation, the teaching has rapidly shifted to electronic media that involves active participation </w:t>
      </w:r>
      <w:r w:rsidR="00286866">
        <w:rPr>
          <w:lang w:val="en-US"/>
        </w:rPr>
        <w:t>and adequate understanding (</w:t>
      </w:r>
      <w:r w:rsidR="00286866">
        <w:rPr>
          <w:shd w:val="clear" w:color="auto" w:fill="FFFFFF"/>
        </w:rPr>
        <w:t xml:space="preserve">Adeoye &amp; Popoola, 2011). </w:t>
      </w:r>
      <w:r>
        <w:rPr>
          <w:lang w:val="en-US"/>
        </w:rPr>
        <w:t xml:space="preserve"> The majority of the </w:t>
      </w:r>
      <w:r w:rsidR="00B510B2">
        <w:rPr>
          <w:lang w:val="en-US"/>
        </w:rPr>
        <w:t>learners</w:t>
      </w:r>
      <w:r>
        <w:rPr>
          <w:lang w:val="en-US"/>
        </w:rPr>
        <w:t xml:space="preserve"> tend to re</w:t>
      </w:r>
      <w:r w:rsidR="0001013F">
        <w:rPr>
          <w:lang w:val="en-US"/>
        </w:rPr>
        <w:t>tain visual</w:t>
      </w:r>
      <w:r w:rsidR="00B510B2">
        <w:rPr>
          <w:lang w:val="en-US"/>
        </w:rPr>
        <w:t xml:space="preserve"> information</w:t>
      </w:r>
      <w:r w:rsidR="0001013F">
        <w:rPr>
          <w:lang w:val="en-US"/>
        </w:rPr>
        <w:t xml:space="preserve"> more than audio information. Integrating the two components is essential in learning. The most commonly used pamphlet is the health</w:t>
      </w:r>
      <w:r w:rsidR="00B510B2">
        <w:rPr>
          <w:lang w:val="en-US"/>
        </w:rPr>
        <w:t xml:space="preserve"> nutrition</w:t>
      </w:r>
      <w:r w:rsidR="0001013F">
        <w:rPr>
          <w:lang w:val="en-US"/>
        </w:rPr>
        <w:t xml:space="preserve"> pamphlet that provides information and awareness of various diseases and ways to prevent a specific disease or adequate nutrition.</w:t>
      </w:r>
      <w:r w:rsidR="00707551">
        <w:rPr>
          <w:lang w:val="en-US"/>
        </w:rPr>
        <w:t xml:space="preserve"> These pamphlets are made to display a single report that is short and straight to the point. </w:t>
      </w:r>
      <w:r w:rsidR="00B510B2">
        <w:rPr>
          <w:lang w:val="en-US"/>
        </w:rPr>
        <w:t xml:space="preserve">Some are often a pictorial representation of the intended subject matter. </w:t>
      </w:r>
    </w:p>
    <w:p w:rsidR="00707551" w:rsidRDefault="00CC4F6D" w:rsidP="00B97E43">
      <w:pPr>
        <w:ind w:firstLine="720"/>
        <w:rPr>
          <w:lang w:val="en-US"/>
        </w:rPr>
      </w:pPr>
      <w:r>
        <w:rPr>
          <w:lang w:val="en-US"/>
        </w:rPr>
        <w:t>The joint disease is covid 19. It's a pandemic that has struck the world followin</w:t>
      </w:r>
      <w:r>
        <w:rPr>
          <w:lang w:val="en-US"/>
        </w:rPr>
        <w:t xml:space="preserve">g </w:t>
      </w:r>
      <w:r w:rsidR="00DC52DD">
        <w:rPr>
          <w:lang w:val="en-US"/>
        </w:rPr>
        <w:t>its unique</w:t>
      </w:r>
      <w:r>
        <w:rPr>
          <w:lang w:val="en-US"/>
        </w:rPr>
        <w:t xml:space="preserve"> clinica</w:t>
      </w:r>
      <w:r w:rsidR="00DC52DD">
        <w:rPr>
          <w:lang w:val="en-US"/>
        </w:rPr>
        <w:t>l presentation of</w:t>
      </w:r>
      <w:r>
        <w:rPr>
          <w:lang w:val="en-US"/>
        </w:rPr>
        <w:t xml:space="preserve"> respiratory depression, coughs, and fivers. </w:t>
      </w:r>
      <w:r w:rsidR="00DC52DD">
        <w:rPr>
          <w:lang w:val="en-US"/>
        </w:rPr>
        <w:t>The disease information was obtained</w:t>
      </w:r>
      <w:r w:rsidR="003865FD">
        <w:rPr>
          <w:lang w:val="en-US"/>
        </w:rPr>
        <w:t xml:space="preserve"> from the CDC website. It has recently been updated and data provided match the </w:t>
      </w:r>
      <w:r w:rsidR="00DC52DD">
        <w:rPr>
          <w:lang w:val="en-US"/>
        </w:rPr>
        <w:t>disease process. It is equally their role to identify disease progression and have the authority to alter and change content depending on disease progre</w:t>
      </w:r>
      <w:r w:rsidR="003865FD">
        <w:rPr>
          <w:lang w:val="en-US"/>
        </w:rPr>
        <w:t xml:space="preserve">ss. It is a site fully trusted on disease pattern. </w:t>
      </w:r>
      <w:bookmarkStart w:id="0" w:name="_GoBack"/>
      <w:bookmarkEnd w:id="0"/>
    </w:p>
    <w:p w:rsidR="00DC52DD" w:rsidRDefault="00DC52DD">
      <w:pPr>
        <w:rPr>
          <w:lang w:val="en-US"/>
        </w:rPr>
      </w:pPr>
    </w:p>
    <w:p w:rsidR="00DC52DD" w:rsidRDefault="00DC52DD">
      <w:pPr>
        <w:rPr>
          <w:lang w:val="en-US"/>
        </w:rPr>
      </w:pPr>
    </w:p>
    <w:p w:rsidR="00B510B2" w:rsidRDefault="00B510B2" w:rsidP="00DC52DD">
      <w:pPr>
        <w:jc w:val="center"/>
        <w:rPr>
          <w:lang w:val="en-US"/>
        </w:rPr>
      </w:pPr>
    </w:p>
    <w:p w:rsidR="00DC52DD" w:rsidRDefault="00CC4F6D" w:rsidP="00DC52DD">
      <w:pPr>
        <w:jc w:val="center"/>
        <w:rPr>
          <w:lang w:val="en-US"/>
        </w:rPr>
      </w:pPr>
      <w:r>
        <w:rPr>
          <w:lang w:val="en-US"/>
        </w:rPr>
        <w:lastRenderedPageBreak/>
        <w:t xml:space="preserve">References </w:t>
      </w:r>
    </w:p>
    <w:p w:rsidR="00286866" w:rsidRPr="00286866" w:rsidRDefault="00CC4F6D" w:rsidP="00286866">
      <w:pPr>
        <w:ind w:left="720" w:hanging="720"/>
        <w:jc w:val="center"/>
      </w:pPr>
      <w:r>
        <w:rPr>
          <w:shd w:val="clear" w:color="auto" w:fill="FFFFFF"/>
        </w:rPr>
        <w:t xml:space="preserve">Adeoye, M. O., &amp; Popoola, S. O. (2011). Teaching effectiveness, availability, accessibility, and use of library and information resources among teaching staff of nursing schools in Osun and </w:t>
      </w:r>
      <w:r>
        <w:rPr>
          <w:shd w:val="clear" w:color="auto" w:fill="FFFFFF"/>
        </w:rPr>
        <w:t xml:space="preserve">Oyo State, Nigeria. </w:t>
      </w:r>
      <w:r>
        <w:rPr>
          <w:i/>
          <w:iCs/>
          <w:shd w:val="clear" w:color="auto" w:fill="FFFFFF"/>
        </w:rPr>
        <w:t>Library Philosophy and Practice</w:t>
      </w:r>
      <w:r>
        <w:rPr>
          <w:shd w:val="clear" w:color="auto" w:fill="FFFFFF"/>
        </w:rPr>
        <w:t>, 1.</w:t>
      </w:r>
    </w:p>
    <w:p w:rsidR="00286866" w:rsidRDefault="00CC4F6D" w:rsidP="00286866">
      <w:pPr>
        <w:ind w:left="720" w:hanging="720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Crane, R. S., Kuyken, W., Williams, J. M. G., Hastings, R. P., Cooper, L., &amp; Fennell, M. J. (2012). Competence in teaching mindfulness-based courses: concepts, development, and assessment. </w:t>
      </w:r>
      <w:r>
        <w:rPr>
          <w:i/>
          <w:iCs/>
          <w:shd w:val="clear" w:color="auto" w:fill="FFFFFF"/>
        </w:rPr>
        <w:t>Mindfulness</w:t>
      </w:r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3</w:t>
      </w:r>
      <w:r>
        <w:rPr>
          <w:shd w:val="clear" w:color="auto" w:fill="FFFFFF"/>
        </w:rPr>
        <w:t>(1), 76-84.</w:t>
      </w:r>
    </w:p>
    <w:p w:rsidR="00286866" w:rsidRDefault="00CC4F6D" w:rsidP="00286866">
      <w:pPr>
        <w:ind w:left="720" w:hanging="720"/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Russell, R., Guerry, A. D., Balvanera, P., Gould, R. K., Basurto, X., Chan, K. M., ... &amp; Tam, J. (2013). Humans and nature: how knowing and experiencing nature affect wellbeing. </w:t>
      </w:r>
      <w:r>
        <w:rPr>
          <w:i/>
          <w:iCs/>
          <w:shd w:val="clear" w:color="auto" w:fill="FFFFFF"/>
        </w:rPr>
        <w:t>Annual review of environment and resources</w:t>
      </w:r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38</w:t>
      </w:r>
      <w:r>
        <w:rPr>
          <w:shd w:val="clear" w:color="auto" w:fill="FFFFFF"/>
        </w:rPr>
        <w:t>, 473-502.</w:t>
      </w:r>
    </w:p>
    <w:p w:rsidR="00286866" w:rsidRDefault="00CC4F6D" w:rsidP="00286866">
      <w:pPr>
        <w:ind w:left="720" w:hanging="720"/>
        <w:jc w:val="center"/>
        <w:rPr>
          <w:shd w:val="clear" w:color="auto" w:fill="FFFFFF"/>
        </w:rPr>
      </w:pPr>
      <w:r>
        <w:rPr>
          <w:shd w:val="clear" w:color="auto" w:fill="FFFFFF"/>
        </w:rPr>
        <w:t>Watts</w:t>
      </w:r>
      <w:r>
        <w:rPr>
          <w:rFonts w:ascii="Cambria Math" w:hAnsi="Cambria Math" w:cs="Cambria Math"/>
          <w:shd w:val="clear" w:color="auto" w:fill="FFFFFF"/>
        </w:rPr>
        <w:t>‐</w:t>
      </w:r>
      <w:r>
        <w:rPr>
          <w:shd w:val="clear" w:color="auto" w:fill="FFFFFF"/>
        </w:rPr>
        <w:t>Taffe, S., Laster, B. P., Broach, L., Marinak, B., McDonald Connor, C., &amp; Walker</w:t>
      </w:r>
      <w:r>
        <w:rPr>
          <w:rFonts w:ascii="Cambria Math" w:hAnsi="Cambria Math" w:cs="Cambria Math"/>
          <w:shd w:val="clear" w:color="auto" w:fill="FFFFFF"/>
        </w:rPr>
        <w:t>‐</w:t>
      </w:r>
      <w:r>
        <w:rPr>
          <w:shd w:val="clear" w:color="auto" w:fill="FFFFFF"/>
        </w:rPr>
        <w:t>Dalhouse, D. (2012). Differentiated instruction: Making informed teacher decisions. </w:t>
      </w:r>
      <w:r>
        <w:rPr>
          <w:i/>
          <w:iCs/>
          <w:shd w:val="clear" w:color="auto" w:fill="FFFFFF"/>
        </w:rPr>
        <w:t>The Reading Teacher</w:t>
      </w:r>
      <w:r>
        <w:rPr>
          <w:shd w:val="clear" w:color="auto" w:fill="FFFFFF"/>
        </w:rPr>
        <w:t>, </w:t>
      </w:r>
      <w:r>
        <w:rPr>
          <w:i/>
          <w:iCs/>
          <w:shd w:val="clear" w:color="auto" w:fill="FFFFFF"/>
        </w:rPr>
        <w:t>66</w:t>
      </w:r>
      <w:r>
        <w:rPr>
          <w:shd w:val="clear" w:color="auto" w:fill="FFFFFF"/>
        </w:rPr>
        <w:t>(4), 303-314.</w:t>
      </w:r>
    </w:p>
    <w:sectPr w:rsidR="00286866">
      <w:head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F6D" w:rsidRDefault="00CC4F6D">
      <w:pPr>
        <w:spacing w:line="240" w:lineRule="auto"/>
      </w:pPr>
      <w:r>
        <w:separator/>
      </w:r>
    </w:p>
  </w:endnote>
  <w:endnote w:type="continuationSeparator" w:id="0">
    <w:p w:rsidR="00CC4F6D" w:rsidRDefault="00CC4F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F6D" w:rsidRDefault="00CC4F6D">
      <w:pPr>
        <w:spacing w:line="240" w:lineRule="auto"/>
      </w:pPr>
      <w:r>
        <w:separator/>
      </w:r>
    </w:p>
  </w:footnote>
  <w:footnote w:type="continuationSeparator" w:id="0">
    <w:p w:rsidR="00CC4F6D" w:rsidRDefault="00CC4F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2173286"/>
      <w:docPartObj>
        <w:docPartGallery w:val="Page Numbers (Top of Page)"/>
        <w:docPartUnique/>
      </w:docPartObj>
    </w:sdtPr>
    <w:sdtEndPr>
      <w:rPr>
        <w:noProof/>
      </w:rPr>
    </w:sdtEndPr>
    <w:sdtContent>
      <w:p w:rsidR="00B97E43" w:rsidRDefault="00CC4F6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65F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97E43" w:rsidRDefault="00B97E4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3tDQwMzcwMzU3NjNV0lEKTi0uzszPAykwqgUAT34QMSwAAAA="/>
  </w:docVars>
  <w:rsids>
    <w:rsidRoot w:val="00605902"/>
    <w:rsid w:val="0001013F"/>
    <w:rsid w:val="00286866"/>
    <w:rsid w:val="003865FD"/>
    <w:rsid w:val="00400200"/>
    <w:rsid w:val="00605902"/>
    <w:rsid w:val="006577CB"/>
    <w:rsid w:val="006E4DC2"/>
    <w:rsid w:val="00707551"/>
    <w:rsid w:val="00766DFB"/>
    <w:rsid w:val="0086519B"/>
    <w:rsid w:val="008D28F2"/>
    <w:rsid w:val="00917142"/>
    <w:rsid w:val="009E0907"/>
    <w:rsid w:val="00A33FFA"/>
    <w:rsid w:val="00A52974"/>
    <w:rsid w:val="00A52B7E"/>
    <w:rsid w:val="00AB3E39"/>
    <w:rsid w:val="00B510B2"/>
    <w:rsid w:val="00B97E43"/>
    <w:rsid w:val="00BD7E66"/>
    <w:rsid w:val="00C13C43"/>
    <w:rsid w:val="00CC4F6D"/>
    <w:rsid w:val="00DC52DD"/>
    <w:rsid w:val="00FD13D0"/>
    <w:rsid w:val="00FE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24710"/>
  <w15:chartTrackingRefBased/>
  <w15:docId w15:val="{5D0F28E1-F625-49B5-9497-937B94411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ZW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7E4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E43"/>
  </w:style>
  <w:style w:type="paragraph" w:styleId="Footer">
    <w:name w:val="footer"/>
    <w:basedOn w:val="Normal"/>
    <w:link w:val="FooterChar"/>
    <w:uiPriority w:val="99"/>
    <w:unhideWhenUsed/>
    <w:rsid w:val="00B97E4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729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2021-06-09T13:30:00Z</dcterms:created>
  <dcterms:modified xsi:type="dcterms:W3CDTF">2021-06-09T17:40:00Z</dcterms:modified>
</cp:coreProperties>
</file>